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33AB" w14:textId="77777777" w:rsidR="00CC17B5" w:rsidRPr="00CC17B5" w:rsidRDefault="006D6AE0" w:rsidP="00DA4BDB">
      <w:pPr>
        <w:pStyle w:val="Title"/>
        <w:jc w:val="center"/>
      </w:pPr>
      <w:r w:rsidRPr="00CC17B5">
        <w:rPr>
          <w:b/>
          <w:sz w:val="32"/>
          <w:szCs w:val="32"/>
        </w:rPr>
        <w:t xml:space="preserve">Student Participation in the </w:t>
      </w:r>
      <w:r w:rsidR="00CC17B5">
        <w:rPr>
          <w:b/>
          <w:sz w:val="32"/>
          <w:szCs w:val="32"/>
        </w:rPr>
        <w:t xml:space="preserve">VAAP </w:t>
      </w:r>
      <w:r w:rsidRPr="00CC17B5">
        <w:rPr>
          <w:b/>
          <w:sz w:val="32"/>
          <w:szCs w:val="32"/>
        </w:rPr>
        <w:t>Resources</w:t>
      </w:r>
    </w:p>
    <w:p w14:paraId="718108C0" w14:textId="77777777" w:rsidR="008211A2" w:rsidRDefault="008211A2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400"/>
        <w:gridCol w:w="4960"/>
      </w:tblGrid>
      <w:tr w:rsidR="008211A2" w14:paraId="6E7E4F54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A1A9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D09A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8211A2" w14:paraId="6CC93AA0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29DF" w14:textId="77777777" w:rsidR="008211A2" w:rsidRDefault="00AF58EF" w:rsidP="00DA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9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VAAP Participation Criteria and Determination of Significant Cognitive Disabilities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40A1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VDOE VAAP participation criteria and guidelines</w:t>
            </w:r>
          </w:p>
        </w:tc>
      </w:tr>
      <w:tr w:rsidR="008211A2" w14:paraId="3C1FFFDE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F9AB" w14:textId="06BAE649" w:rsidR="008211A2" w:rsidRPr="00EB7145" w:rsidRDefault="00EB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hyperlink r:id="rId10" w:history="1">
              <w:r w:rsidR="00F41987" w:rsidRPr="00EB7145">
                <w:rPr>
                  <w:b/>
                  <w:color w:val="1155CC"/>
                  <w:sz w:val="24"/>
                  <w:szCs w:val="24"/>
                  <w:u w:val="single"/>
                </w:rPr>
                <w:t>VAAP Learner Characteristics Inventory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048A" w14:textId="0F19767F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VDOE VAAP Learner Characteristic</w:t>
            </w:r>
            <w:r w:rsidR="00F41987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Inventory to assist IEP team decisions</w:t>
            </w:r>
          </w:p>
        </w:tc>
      </w:tr>
      <w:tr w:rsidR="008211A2" w14:paraId="0562FA03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CA68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11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VESOL Instructional Resources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BAB1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TTAC online webpage resource compilations of evidence-based practices for students with significant cognitive disabilities, crosswalks and sample activities</w:t>
            </w:r>
          </w:p>
        </w:tc>
      </w:tr>
      <w:tr w:rsidR="008211A2" w14:paraId="5C40FB98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F32C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12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Assistive Technology Network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ADA9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VDOE Assistive Technology Network webpage resources, AT considerations and assessment and integrated AT solutions across the curriculum</w:t>
            </w:r>
          </w:p>
        </w:tc>
      </w:tr>
      <w:tr w:rsidR="008211A2" w14:paraId="0F70BDFC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CFD5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13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Virtual AT Lab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0182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VDOE Assistive Technology Network virtual tour to explore AT supports for student learning</w:t>
            </w:r>
          </w:p>
        </w:tc>
      </w:tr>
      <w:tr w:rsidR="008211A2" w14:paraId="2773A21B" w14:textId="77777777" w:rsidTr="00DA4BDB">
        <w:trPr>
          <w:trHeight w:val="753"/>
        </w:trPr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136F" w14:textId="77777777" w:rsidR="008211A2" w:rsidRDefault="00AF58E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14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Virtual AT Open House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6D94" w14:textId="77777777" w:rsidR="008211A2" w:rsidRDefault="006D6AE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TTAC coordinator virtual open house spotlighting AAC and AT</w:t>
            </w:r>
          </w:p>
        </w:tc>
      </w:tr>
      <w:tr w:rsidR="008211A2" w14:paraId="569FBAAF" w14:textId="77777777" w:rsidTr="00DA4BDB">
        <w:trPr>
          <w:trHeight w:val="672"/>
        </w:trPr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A966" w14:textId="77777777" w:rsidR="008211A2" w:rsidRDefault="00AF58E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15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Assistive Technology Playground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5B63" w14:textId="77777777" w:rsidR="008211A2" w:rsidRDefault="006D6AE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TTAC coordinator open house format showcasing AAC and AT</w:t>
            </w:r>
          </w:p>
        </w:tc>
      </w:tr>
      <w:tr w:rsidR="008211A2" w14:paraId="0AC1AA7A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9D9F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6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National Center on Accessible Educational Material</w:t>
              </w:r>
            </w:hyperlink>
            <w:hyperlink r:id="rId17">
              <w:r w:rsidR="006D6AE0">
                <w:rPr>
                  <w:color w:val="1155CC"/>
                  <w:sz w:val="24"/>
                  <w:szCs w:val="24"/>
                  <w:u w:val="single"/>
                </w:rPr>
                <w:t>s</w:t>
              </w:r>
            </w:hyperlink>
            <w:r w:rsidR="006D6AE0">
              <w:rPr>
                <w:sz w:val="24"/>
                <w:szCs w:val="24"/>
              </w:rPr>
              <w:t xml:space="preserve"> (AEM)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B2A0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AEM resources to increase the availability and use of accessible educational materials for students with disabilities</w:t>
            </w:r>
          </w:p>
        </w:tc>
      </w:tr>
      <w:tr w:rsidR="008211A2" w14:paraId="324B2BC2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B1A8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18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TIES Center Communicative Supports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61BB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 Center resource compilation and tips for developing communicative competence so all learners have a means to express what is learned</w:t>
            </w:r>
          </w:p>
        </w:tc>
      </w:tr>
      <w:tr w:rsidR="008211A2" w14:paraId="12F02406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8FBD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19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Project Core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0C78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Core site provides learning modules, teacher tools and free low tech boards to effectively teach communication</w:t>
            </w:r>
          </w:p>
        </w:tc>
      </w:tr>
      <w:tr w:rsidR="008211A2" w14:paraId="7F9DD678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B826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20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Project Success AAC and Communication Resources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4598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Success resources to support core vocabulary and use of AAC/AT</w:t>
            </w:r>
          </w:p>
        </w:tc>
      </w:tr>
      <w:tr w:rsidR="008211A2" w14:paraId="2EE3FA33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BC57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21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Project Success Accommodations and Modifications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5475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Success resources for selecting and implementing appropriate accommodations</w:t>
            </w:r>
          </w:p>
        </w:tc>
      </w:tr>
      <w:tr w:rsidR="008211A2" w14:paraId="311C8134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4D5E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22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Project Success Formative Assessment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FCFF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Success resources, tools and recordings to support educators in formative assessment of students with significant cognitive disabilities</w:t>
            </w:r>
          </w:p>
        </w:tc>
      </w:tr>
      <w:tr w:rsidR="008211A2" w14:paraId="2607902E" w14:textId="77777777" w:rsidTr="00DA4BDB">
        <w:trPr>
          <w:trHeight w:val="1473"/>
        </w:trPr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7511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23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VDOE- Just in Time Mathematic Quick Checks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A76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Formative assessments that align to the 2016 Mathematics Standards of Learning (SOL)</w:t>
            </w:r>
            <w:r w:rsidR="00CC17B5">
              <w:rPr>
                <w:sz w:val="24"/>
                <w:szCs w:val="24"/>
                <w:highlight w:val="white"/>
              </w:rPr>
              <w:t xml:space="preserve"> d</w:t>
            </w:r>
            <w:r>
              <w:rPr>
                <w:sz w:val="24"/>
                <w:szCs w:val="24"/>
                <w:highlight w:val="white"/>
              </w:rPr>
              <w:t>esigned to identify students' unfinished learning and assist in planning instruction to fill potential gaps</w:t>
            </w:r>
          </w:p>
        </w:tc>
      </w:tr>
      <w:tr w:rsidR="008211A2" w14:paraId="4248C967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E9FD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00D31"/>
                <w:sz w:val="23"/>
                <w:szCs w:val="23"/>
                <w:highlight w:val="white"/>
              </w:rPr>
            </w:pPr>
            <w:hyperlink r:id="rId24">
              <w:r w:rsidR="006D6AE0">
                <w:rPr>
                  <w:b/>
                  <w:color w:val="1155CC"/>
                  <w:sz w:val="23"/>
                  <w:szCs w:val="23"/>
                  <w:highlight w:val="white"/>
                  <w:u w:val="single"/>
                </w:rPr>
                <w:t>Literacy for Children with</w:t>
              </w:r>
            </w:hyperlink>
          </w:p>
          <w:p w14:paraId="3B474802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25">
              <w:r w:rsidR="006D6AE0">
                <w:rPr>
                  <w:b/>
                  <w:color w:val="1155CC"/>
                  <w:sz w:val="23"/>
                  <w:szCs w:val="23"/>
                  <w:highlight w:val="white"/>
                  <w:u w:val="single"/>
                </w:rPr>
                <w:t>Combined Vision and Hearing Loss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37F0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Resources from the National Center on Deaf-Blindness for beginning or enhancing literacy instruction for children with combined vision and hearing loss</w:t>
            </w:r>
            <w:r w:rsidR="00DA4BDB">
              <w:rPr>
                <w:sz w:val="24"/>
                <w:szCs w:val="24"/>
                <w:highlight w:val="white"/>
              </w:rPr>
              <w:t xml:space="preserve"> and</w:t>
            </w:r>
            <w:r>
              <w:rPr>
                <w:sz w:val="24"/>
                <w:szCs w:val="24"/>
                <w:highlight w:val="white"/>
              </w:rPr>
              <w:t xml:space="preserve"> also designed to improve literacy instruction for children with multiple disabilities and other complex learning challenges</w:t>
            </w:r>
          </w:p>
        </w:tc>
      </w:tr>
      <w:tr w:rsidR="008211A2" w14:paraId="0B54B8CB" w14:textId="77777777" w:rsidTr="00DA4BDB">
        <w:trPr>
          <w:trHeight w:val="1257"/>
        </w:trPr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5EBD" w14:textId="77777777" w:rsidR="008211A2" w:rsidRPr="00B35E44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26">
              <w:r w:rsidR="006D6AE0" w:rsidRPr="00B35E44">
                <w:rPr>
                  <w:rFonts w:eastAsia="Roboto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National Center on Intensive Intervention-</w:t>
              </w:r>
            </w:hyperlink>
            <w:hyperlink r:id="rId27">
              <w:r w:rsidR="006D6AE0" w:rsidRPr="00B35E44">
                <w:rPr>
                  <w:b/>
                  <w:color w:val="1155CC"/>
                  <w:sz w:val="24"/>
                  <w:szCs w:val="24"/>
                  <w:u w:val="single"/>
                </w:rPr>
                <w:t>Teaching Counting Instructional Videos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6F32" w14:textId="77777777" w:rsidR="00CC17B5" w:rsidRDefault="00CC17B5" w:rsidP="00DA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C17B5">
              <w:rPr>
                <w:sz w:val="24"/>
                <w:szCs w:val="24"/>
              </w:rPr>
              <w:t>Series of videos providing brief instructional examples for supporting students who need intensive instruction in the area of numeracy and counting</w:t>
            </w:r>
          </w:p>
        </w:tc>
      </w:tr>
      <w:tr w:rsidR="008211A2" w14:paraId="1119FFEF" w14:textId="77777777" w:rsidTr="00DA4BDB">
        <w:trPr>
          <w:trHeight w:val="1212"/>
        </w:trPr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FF3D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28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Switch Stepping Stones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A98B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Step-by-step ideas and activities for assisting students in developing switch use, from cause/effect to two switch step scanning</w:t>
            </w:r>
          </w:p>
        </w:tc>
      </w:tr>
      <w:tr w:rsidR="008211A2" w14:paraId="2C77A7C4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1D69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29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Two Switch Scanning Demonstration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17B8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of a student demonstrating how</w:t>
            </w:r>
            <w:r w:rsidR="00DA4BDB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acces</w:t>
            </w:r>
            <w:r w:rsidR="00DA4BD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vocabulary with the use of a Smart/Scan 8 device and two switches, one to cycle through choices and another to select </w:t>
            </w:r>
            <w:r w:rsidR="00DA4B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choice</w:t>
            </w:r>
          </w:p>
        </w:tc>
      </w:tr>
      <w:tr w:rsidR="008211A2" w14:paraId="14C463A4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CD58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30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One Switch Scanning and Partner Assisted Scanning Demonstration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52DB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of a student demonstrating one switch scanning using an iPad app and Partner Assisted Scanning using a communication book </w:t>
            </w:r>
          </w:p>
        </w:tc>
      </w:tr>
      <w:tr w:rsidR="008211A2" w14:paraId="3726F68A" w14:textId="77777777" w:rsidTr="00DA4BDB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5A60" w14:textId="77777777" w:rsidR="008211A2" w:rsidRDefault="00AF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31">
              <w:r w:rsidR="006D6AE0">
                <w:rPr>
                  <w:b/>
                  <w:color w:val="1155CC"/>
                  <w:sz w:val="24"/>
                  <w:szCs w:val="24"/>
                  <w:u w:val="single"/>
                </w:rPr>
                <w:t>Teaching Eye Gaze Choice Making</w:t>
              </w:r>
            </w:hyperlink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FFE0" w14:textId="77777777" w:rsidR="008211A2" w:rsidRDefault="006D6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high and low tech gaze choice making options</w:t>
            </w:r>
          </w:p>
        </w:tc>
      </w:tr>
    </w:tbl>
    <w:p w14:paraId="6CCCCE84" w14:textId="77777777" w:rsidR="008211A2" w:rsidRDefault="008211A2">
      <w:pPr>
        <w:rPr>
          <w:b/>
          <w:sz w:val="24"/>
          <w:szCs w:val="24"/>
        </w:rPr>
      </w:pPr>
    </w:p>
    <w:sectPr w:rsidR="008211A2">
      <w:foot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EB8B" w14:textId="77777777" w:rsidR="00AF58EF" w:rsidRDefault="00AF58EF" w:rsidP="00CC17B5">
      <w:pPr>
        <w:spacing w:line="240" w:lineRule="auto"/>
      </w:pPr>
      <w:r>
        <w:separator/>
      </w:r>
    </w:p>
  </w:endnote>
  <w:endnote w:type="continuationSeparator" w:id="0">
    <w:p w14:paraId="7B838AF0" w14:textId="77777777" w:rsidR="00AF58EF" w:rsidRDefault="00AF58EF" w:rsidP="00CC1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96BE" w14:textId="77777777" w:rsidR="00CC17B5" w:rsidRDefault="00CC17B5">
    <w:pPr>
      <w:pStyle w:val="Footer"/>
    </w:pPr>
    <w:r>
      <w:t>VDOE TTAC</w:t>
    </w:r>
    <w:r>
      <w:ptab w:relativeTo="margin" w:alignment="center" w:leader="none"/>
    </w:r>
    <w:r>
      <w:t>VAAP Student Participation Resources</w:t>
    </w:r>
    <w:r>
      <w:ptab w:relativeTo="margin" w:alignment="right" w:leader="none"/>
    </w: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9572" w14:textId="77777777" w:rsidR="00AF58EF" w:rsidRDefault="00AF58EF" w:rsidP="00CC17B5">
      <w:pPr>
        <w:spacing w:line="240" w:lineRule="auto"/>
      </w:pPr>
      <w:r>
        <w:separator/>
      </w:r>
    </w:p>
  </w:footnote>
  <w:footnote w:type="continuationSeparator" w:id="0">
    <w:p w14:paraId="6E8ACE19" w14:textId="77777777" w:rsidR="00AF58EF" w:rsidRDefault="00AF58EF" w:rsidP="00CC17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A2"/>
    <w:rsid w:val="00147B85"/>
    <w:rsid w:val="006D6AE0"/>
    <w:rsid w:val="008211A2"/>
    <w:rsid w:val="00AF58EF"/>
    <w:rsid w:val="00B35E44"/>
    <w:rsid w:val="00CC17B5"/>
    <w:rsid w:val="00DA4BDB"/>
    <w:rsid w:val="00EB7145"/>
    <w:rsid w:val="00F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1D821"/>
  <w15:docId w15:val="{151910D4-5B89-4ACE-A69B-943A5CA4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7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B5"/>
  </w:style>
  <w:style w:type="paragraph" w:styleId="Footer">
    <w:name w:val="footer"/>
    <w:basedOn w:val="Normal"/>
    <w:link w:val="FooterChar"/>
    <w:uiPriority w:val="99"/>
    <w:unhideWhenUsed/>
    <w:rsid w:val="00CC17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B5"/>
  </w:style>
  <w:style w:type="character" w:styleId="Hyperlink">
    <w:name w:val="Hyperlink"/>
    <w:basedOn w:val="DefaultParagraphFont"/>
    <w:uiPriority w:val="99"/>
    <w:unhideWhenUsed/>
    <w:rsid w:val="00EB7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network.ttaconline.org/virtual-at-lab" TargetMode="External"/><Relationship Id="rId18" Type="http://schemas.openxmlformats.org/officeDocument/2006/relationships/hyperlink" Target="https://tiescenter.org/communicative-supports" TargetMode="External"/><Relationship Id="rId26" Type="http://schemas.openxmlformats.org/officeDocument/2006/relationships/hyperlink" Target="https://intensiveintervention.org/resource/teaching-counting-instructional-video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cgprojectsuccess.com/educators/accommodations-and-modification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tnetwork.ttaconline.org/" TargetMode="External"/><Relationship Id="rId17" Type="http://schemas.openxmlformats.org/officeDocument/2006/relationships/hyperlink" Target="https://aem.cast.org/" TargetMode="External"/><Relationship Id="rId25" Type="http://schemas.openxmlformats.org/officeDocument/2006/relationships/hyperlink" Target="http://literacy.nationaldb.org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em.cast.org/" TargetMode="External"/><Relationship Id="rId20" Type="http://schemas.openxmlformats.org/officeDocument/2006/relationships/hyperlink" Target="https://www.pcgprojectsuccess.com/educators/aac-and-communication-resources" TargetMode="External"/><Relationship Id="rId29" Type="http://schemas.openxmlformats.org/officeDocument/2006/relationships/hyperlink" Target="https://www.youtube.com/watch_popup?v=UC3jGW0sKz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taconline.org/vesol" TargetMode="External"/><Relationship Id="rId24" Type="http://schemas.openxmlformats.org/officeDocument/2006/relationships/hyperlink" Target="http://literacy.nationaldb.org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taconline.org/Resource/JWHaEa5BS74AhxuO-QnfuA/Resource-assistive-technology-virtual-open-house-ttac-at-vt" TargetMode="External"/><Relationship Id="rId23" Type="http://schemas.openxmlformats.org/officeDocument/2006/relationships/hyperlink" Target="https://www.doe.virginia.gov/testing/sol/standards_docs/mathematics/2016/jit/index.shtml" TargetMode="External"/><Relationship Id="rId28" Type="http://schemas.openxmlformats.org/officeDocument/2006/relationships/hyperlink" Target="https://lindaburkhart.com/wp-content/uploads/2016/06/stepping_stones_chart_10_12.pdf" TargetMode="External"/><Relationship Id="rId10" Type="http://schemas.openxmlformats.org/officeDocument/2006/relationships/hyperlink" Target="https://ttaconline.org/Document/zxbIhX_YCJMB_tXPeJCxGOGOBOgbA-a2/VAAP%20LCI%20Updated%20Fillable%20Final.pdf" TargetMode="External"/><Relationship Id="rId19" Type="http://schemas.openxmlformats.org/officeDocument/2006/relationships/hyperlink" Target="http://www.project-core.com/" TargetMode="External"/><Relationship Id="rId31" Type="http://schemas.openxmlformats.org/officeDocument/2006/relationships/hyperlink" Target="https://praacticalaac.org/tag/eye-gaz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oe.virginia.gov/testing/alternative_assessments/vaap_va_alt_assessment_prog/index.shtml" TargetMode="External"/><Relationship Id="rId14" Type="http://schemas.openxmlformats.org/officeDocument/2006/relationships/hyperlink" Target="http://ttaconline.org/Resource/JWHaEa5BS74AhxuO-QnfuA/Resource-assistive-technology-virtual-open-house-ttac-at-vt" TargetMode="External"/><Relationship Id="rId22" Type="http://schemas.openxmlformats.org/officeDocument/2006/relationships/hyperlink" Target="https://www.pcgprojectsuccess.com/educators/formative-assessment" TargetMode="External"/><Relationship Id="rId27" Type="http://schemas.openxmlformats.org/officeDocument/2006/relationships/hyperlink" Target="https://intensiveintervention.org/resource/teaching-counting-instructional-videos" TargetMode="External"/><Relationship Id="rId30" Type="http://schemas.openxmlformats.org/officeDocument/2006/relationships/hyperlink" Target="https://www.youtube.com/watch_popup?v=w-sxeiJdkyQ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AD9DA-85CF-4A64-9559-2B05531CD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E1913-41B5-4C32-ACD1-0BCD5379A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0A10E-6361-49B8-88E4-DEFFD440A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Student Participation in the VAAP Resources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Student Participation in the VAAP Resources</dc:title>
  <dc:creator>VESOL Workgroup</dc:creator>
  <cp:lastModifiedBy>Samit Hareshwar Vartak</cp:lastModifiedBy>
  <cp:revision>3</cp:revision>
  <dcterms:created xsi:type="dcterms:W3CDTF">2021-10-04T21:59:00Z</dcterms:created>
  <dcterms:modified xsi:type="dcterms:W3CDTF">2021-10-04T22:13:00Z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